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050514F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75AED" w:rsidRPr="00C75AED">
        <w:rPr>
          <w:rFonts w:ascii="Arial" w:hAnsi="Arial" w:cs="Arial"/>
          <w:b/>
          <w:bCs/>
        </w:rPr>
        <w:t>Budowa węzła w Strzelcach Krajeńskich, ul. Ogrodowa (budynek nr 2)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05736895">
    <w:abstractNumId w:val="1"/>
  </w:num>
  <w:num w:numId="2" w16cid:durableId="21026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616B59"/>
    <w:rsid w:val="0069309B"/>
    <w:rsid w:val="006B6977"/>
    <w:rsid w:val="006D6F39"/>
    <w:rsid w:val="00716B5F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5AED"/>
    <w:rsid w:val="00C7744D"/>
    <w:rsid w:val="00CD7B1C"/>
    <w:rsid w:val="00D7614E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Company>SEC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2023-09-14T11:27:00Z</dcterms:modified>
  <dc:language>pl-PL</dc:language>
</cp:coreProperties>
</file>