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23A40E4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524C74" w:rsidRPr="00524C74">
        <w:rPr>
          <w:rFonts w:ascii="Arial" w:hAnsi="Arial" w:cs="Arial"/>
          <w:b/>
          <w:bCs/>
        </w:rPr>
        <w:t>Dostawa opału węglowego na potrzeby SEC Region w miesiącach styczeń-czerwiec w 2024 r</w:t>
      </w:r>
      <w:r w:rsidR="004E2D49" w:rsidRPr="004E2D4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4E2D49"/>
    <w:rsid w:val="00510C12"/>
    <w:rsid w:val="00524C74"/>
    <w:rsid w:val="0052785E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9F2302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D40D37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Company>SEC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32</cp:revision>
  <dcterms:created xsi:type="dcterms:W3CDTF">2022-10-20T08:44:00Z</dcterms:created>
  <dcterms:modified xsi:type="dcterms:W3CDTF">2023-12-28T11:53:00Z</dcterms:modified>
  <dc:language>pl-PL</dc:language>
</cp:coreProperties>
</file>