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34A3" w14:textId="77777777" w:rsidR="00F01C13" w:rsidRPr="0066659F" w:rsidRDefault="00F01C13" w:rsidP="00F01C13">
      <w:pPr>
        <w:pStyle w:val="Nagwek1"/>
        <w:rPr>
          <w:rFonts w:ascii="Arial" w:hAnsi="Arial" w:cs="Arial"/>
          <w:sz w:val="22"/>
          <w:szCs w:val="22"/>
        </w:rPr>
      </w:pPr>
      <w:r w:rsidRPr="0066659F">
        <w:rPr>
          <w:rFonts w:ascii="Arial" w:hAnsi="Arial" w:cs="Arial"/>
          <w:sz w:val="22"/>
          <w:szCs w:val="22"/>
        </w:rPr>
        <w:t>PRZEDMIOT ZAMÓWIENIA</w:t>
      </w:r>
    </w:p>
    <w:p w14:paraId="19D93BB1" w14:textId="77777777" w:rsidR="00F01C13" w:rsidRPr="0066659F" w:rsidRDefault="00F01C13" w:rsidP="00F01C13">
      <w:pPr>
        <w:rPr>
          <w:rFonts w:ascii="Arial" w:hAnsi="Arial" w:cs="Arial"/>
        </w:rPr>
      </w:pPr>
      <w:r w:rsidRPr="0066659F">
        <w:rPr>
          <w:rFonts w:ascii="Arial" w:hAnsi="Arial" w:cs="Arial"/>
        </w:rPr>
        <w:t>Wykonawca w ramach przedmiotu zamówienia będzie zobowiązany do prowadzenia serwisu dwóch wysokosprawnych gazowych jednostek kogeneracyjnych, przy czym w każdej z dwóch lokalizacji zainstalowana jest jedna jednostka gazowa. W ramach realizacji przedmiotu zamówienia Wykonawca będzie odpowiedzialny za świadczenie usług serwisowych dla wysokosprawnych jednostek kogeneracyjnych opartych na silnikach gazowych, współpracujących z istniejącymi układami technologicznymi ciepłowni w Barlinku i Myśliborzu. Elektrociepłownie zostały zbudowane w ramach projektu pn. „Dostawa i zabudowa wysokosprawnych jednostek kogeneracyjnych współpracujących z istniejącymi układami technologicznymi w Ciepłowni w Barlinku i Myśliborzu”, współfinansowanego ze środków Unii Europejskiej.</w:t>
      </w:r>
    </w:p>
    <w:p w14:paraId="3DD3AD1F" w14:textId="77777777" w:rsidR="00F01C13" w:rsidRPr="0066659F" w:rsidRDefault="00F01C13" w:rsidP="00F01C13">
      <w:pPr>
        <w:pStyle w:val="Nagwek1"/>
        <w:ind w:left="357" w:hanging="357"/>
        <w:jc w:val="center"/>
        <w:rPr>
          <w:rFonts w:ascii="Arial" w:hAnsi="Arial" w:cs="Arial"/>
          <w:sz w:val="22"/>
          <w:szCs w:val="22"/>
        </w:rPr>
      </w:pPr>
      <w:r w:rsidRPr="0066659F">
        <w:rPr>
          <w:rFonts w:ascii="Arial" w:hAnsi="Arial" w:cs="Arial"/>
          <w:sz w:val="22"/>
          <w:szCs w:val="22"/>
        </w:rPr>
        <w:t>ZADANIE 1</w:t>
      </w:r>
    </w:p>
    <w:p w14:paraId="7CA56476" w14:textId="77777777" w:rsidR="00F01C13" w:rsidRPr="0066659F" w:rsidRDefault="00F01C13" w:rsidP="00F01C13">
      <w:pPr>
        <w:pStyle w:val="Nagwek2"/>
        <w:rPr>
          <w:rFonts w:ascii="Arial" w:hAnsi="Arial" w:cs="Arial"/>
          <w:sz w:val="22"/>
          <w:szCs w:val="22"/>
        </w:rPr>
      </w:pPr>
      <w:r w:rsidRPr="0066659F">
        <w:rPr>
          <w:rFonts w:ascii="Arial" w:hAnsi="Arial" w:cs="Arial"/>
          <w:sz w:val="22"/>
          <w:szCs w:val="22"/>
        </w:rPr>
        <w:t xml:space="preserve">Ogólny opis przedmiotu zamówienia </w:t>
      </w:r>
    </w:p>
    <w:p w14:paraId="5E8478F3" w14:textId="700BF9C7" w:rsidR="00ED01BC" w:rsidRDefault="00F01C13" w:rsidP="00F01C13">
      <w:pPr>
        <w:rPr>
          <w:rFonts w:ascii="Arial" w:hAnsi="Arial" w:cs="Arial"/>
        </w:rPr>
      </w:pPr>
      <w:r w:rsidRPr="0066659F">
        <w:rPr>
          <w:rFonts w:ascii="Arial" w:hAnsi="Arial" w:cs="Arial"/>
        </w:rPr>
        <w:t>W ramach realizacji przedmiotu zamówienia Wykonawca będzie odpowiedzialny za świadczenie usług serwisowych dla wysokosprawnej jednostki kogeneracyjnej opartej na silniku gazowym MWM TCG 3016 V16, współpracującej z istniejącym układem technologicznym ciepłowni w Barlinku, zlokalizowanej przy ul. Św. Bonifacego 25 w Barlinku (dalej jako CHP Barlinek). Elektrociepłownia została zbudowana w ramach projektu pn. „Dostawa i zabudowa wysokosprawnych jednostek kogeneracyjnych współpracujących z istniejącymi układami technologicznymi w Ciepłowni w Barlinku i Myśliborzu”, współfinansowanego ze środków Unii Europejskiej. Zamawiający jest zobowiązany do utrzymania tzw. „trwałości projektu” do dnia 18.03.2029 r., co oznacza konieczność dotrzymania określonej ilości motogodzin pracy CHP Barlinek (produkcji energii elektrycznej) oraz osiągnięcie wymaganych parametrów operacyjnych.</w:t>
      </w:r>
    </w:p>
    <w:p w14:paraId="53430091" w14:textId="77777777" w:rsidR="00EE63E9" w:rsidRPr="0066659F" w:rsidRDefault="00EE63E9" w:rsidP="00EE63E9">
      <w:pPr>
        <w:pStyle w:val="Nagwek2"/>
        <w:ind w:left="720" w:hanging="363"/>
        <w:jc w:val="center"/>
        <w:rPr>
          <w:rFonts w:ascii="Arial" w:hAnsi="Arial" w:cs="Arial"/>
          <w:sz w:val="22"/>
          <w:szCs w:val="22"/>
        </w:rPr>
      </w:pPr>
      <w:r w:rsidRPr="0066659F">
        <w:rPr>
          <w:rFonts w:ascii="Arial" w:hAnsi="Arial" w:cs="Arial"/>
          <w:sz w:val="22"/>
          <w:szCs w:val="22"/>
        </w:rPr>
        <w:t>ZADANIE 2</w:t>
      </w:r>
    </w:p>
    <w:p w14:paraId="4C799018" w14:textId="77777777" w:rsidR="00EE63E9" w:rsidRPr="0066659F" w:rsidRDefault="00EE63E9" w:rsidP="00EE63E9">
      <w:pPr>
        <w:pStyle w:val="Nagwek2"/>
        <w:numPr>
          <w:ilvl w:val="1"/>
          <w:numId w:val="1"/>
        </w:numPr>
        <w:tabs>
          <w:tab w:val="clear" w:pos="720"/>
          <w:tab w:val="num" w:pos="360"/>
        </w:tabs>
        <w:ind w:left="0" w:firstLine="0"/>
        <w:rPr>
          <w:rFonts w:ascii="Arial" w:hAnsi="Arial" w:cs="Arial"/>
          <w:sz w:val="22"/>
          <w:szCs w:val="22"/>
        </w:rPr>
      </w:pPr>
      <w:r w:rsidRPr="0066659F">
        <w:rPr>
          <w:rFonts w:ascii="Arial" w:hAnsi="Arial" w:cs="Arial"/>
          <w:sz w:val="22"/>
          <w:szCs w:val="22"/>
        </w:rPr>
        <w:t xml:space="preserve">Ogólny opis przedmiotu zamówienia </w:t>
      </w:r>
    </w:p>
    <w:p w14:paraId="5BF65C05" w14:textId="04EA22B7" w:rsidR="00F01C13" w:rsidRDefault="00EE63E9" w:rsidP="00EE63E9">
      <w:r w:rsidRPr="0066659F">
        <w:rPr>
          <w:rFonts w:ascii="Arial" w:hAnsi="Arial" w:cs="Arial"/>
        </w:rPr>
        <w:t xml:space="preserve">W ramach realizacji przedmiotu zamówienia Wykonawca będzie odpowiedzialny za świadczenie usług serwisowych dla wysokosprawnej gazowej jednostki kogeneracyjnej opartej na silnikach gazowych MWM TCG 3016 V12, współpracującej z istniejącym układem technologicznym ciepłowni w Myśliborzu, zlokalizowanej przy ul. Lipowej 13 w Myśliborzu (dalej jako CHP Myślibórz). Elektrociepłownia została rozbudowana w ramach projektu pn. „Dostawa i zabudowa wysokosprawnych jednostek kogeneracyjnych współpracujących z istniejącymi układami technologicznymi w Ciepłowni w Barlinku i Myśliborzu”, </w:t>
      </w:r>
      <w:r w:rsidRPr="0066659F">
        <w:rPr>
          <w:rFonts w:ascii="Arial" w:hAnsi="Arial" w:cs="Arial"/>
        </w:rPr>
        <w:lastRenderedPageBreak/>
        <w:t>współfinansowanego ze środków Unii Europejskiej. Zamawiający jest zobowiązany do utrzymania tzw. „trwałości projektu” do dnia 26.03.2029 r., co oznacza konieczność dotrzymania określonej ilości motogodzin pracy CHP Myślibórz (produkcji energii elektrycznej) oraz osiągnięcie wymaganych parametrów operacyjnych</w:t>
      </w:r>
      <w:r>
        <w:rPr>
          <w:rFonts w:ascii="Arial" w:hAnsi="Arial" w:cs="Arial"/>
        </w:rPr>
        <w:t>.</w:t>
      </w:r>
    </w:p>
    <w:sectPr w:rsidR="00F01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E5E46"/>
    <w:multiLevelType w:val="multilevel"/>
    <w:tmpl w:val="451E154C"/>
    <w:lvl w:ilvl="0">
      <w:start w:val="1"/>
      <w:numFmt w:val="upperRoman"/>
      <w:lvlText w:val="%1."/>
      <w:lvlJc w:val="left"/>
      <w:pPr>
        <w:tabs>
          <w:tab w:val="num" w:pos="357"/>
        </w:tabs>
        <w:ind w:left="357" w:hanging="357"/>
      </w:pPr>
      <w:rPr>
        <w:rFonts w:asciiTheme="majorHAnsi" w:hAnsiTheme="majorHAnsi" w:hint="default"/>
        <w:b/>
        <w:bCs/>
        <w:caps/>
        <w:color w:val="auto"/>
        <w:sz w:val="24"/>
      </w:rPr>
    </w:lvl>
    <w:lvl w:ilvl="1">
      <w:start w:val="1"/>
      <w:numFmt w:val="decimal"/>
      <w:lvlText w:val="%2."/>
      <w:lvlJc w:val="left"/>
      <w:pPr>
        <w:tabs>
          <w:tab w:val="num" w:pos="720"/>
        </w:tabs>
        <w:ind w:left="720" w:hanging="363"/>
      </w:pPr>
      <w:rPr>
        <w:rFonts w:asciiTheme="majorHAnsi" w:hAnsiTheme="majorHAnsi" w:hint="default"/>
        <w:b w:val="0"/>
        <w:bCs w:val="0"/>
        <w:i w:val="0"/>
        <w:caps w:val="0"/>
        <w:color w:val="auto"/>
        <w:sz w:val="22"/>
      </w:rPr>
    </w:lvl>
    <w:lvl w:ilvl="2">
      <w:start w:val="1"/>
      <w:numFmt w:val="decimal"/>
      <w:lvlRestart w:val="0"/>
      <w:lvlText w:val="%2.%3"/>
      <w:lvlJc w:val="left"/>
      <w:pPr>
        <w:tabs>
          <w:tab w:val="num" w:pos="1077"/>
        </w:tabs>
        <w:ind w:left="1077" w:hanging="357"/>
      </w:pPr>
      <w:rPr>
        <w:rFonts w:asciiTheme="minorHAnsi" w:hAnsiTheme="minorHAnsi" w:hint="default"/>
        <w:b w:val="0"/>
        <w:i w:val="0"/>
        <w:color w:val="auto"/>
        <w:sz w:val="22"/>
      </w:rPr>
    </w:lvl>
    <w:lvl w:ilvl="3">
      <w:start w:val="1"/>
      <w:numFmt w:val="lowerLetter"/>
      <w:lvlText w:val="%4."/>
      <w:lvlJc w:val="left"/>
      <w:pPr>
        <w:tabs>
          <w:tab w:val="num" w:pos="1440"/>
        </w:tabs>
        <w:ind w:left="1440" w:hanging="363"/>
      </w:pPr>
      <w:rPr>
        <w:rFonts w:asciiTheme="minorHAnsi" w:hAnsiTheme="minorHAnsi" w:cs="Arial" w:hint="default"/>
        <w:b w:val="0"/>
        <w:i w:val="0"/>
        <w:color w:val="auto"/>
        <w:sz w:val="22"/>
      </w:rPr>
    </w:lvl>
    <w:lvl w:ilvl="4">
      <w:start w:val="1"/>
      <w:numFmt w:val="bullet"/>
      <w:lvlText w:val=""/>
      <w:lvlJc w:val="left"/>
      <w:pPr>
        <w:tabs>
          <w:tab w:val="num" w:pos="1797"/>
        </w:tabs>
        <w:ind w:left="1797" w:hanging="357"/>
      </w:pPr>
      <w:rPr>
        <w:rFonts w:ascii="Symbol" w:hAnsi="Symbol" w:hint="default"/>
        <w:b w:val="0"/>
        <w:i w:val="0"/>
        <w:color w:val="auto"/>
        <w:sz w:val="22"/>
      </w:rPr>
    </w:lvl>
    <w:lvl w:ilvl="5">
      <w:start w:val="1"/>
      <w:numFmt w:val="upperRoman"/>
      <w:lvlText w:val="%6."/>
      <w:lvlJc w:val="right"/>
      <w:pPr>
        <w:tabs>
          <w:tab w:val="num" w:pos="7517"/>
        </w:tabs>
        <w:ind w:left="7517" w:hanging="360"/>
      </w:pPr>
      <w:rPr>
        <w:rFonts w:hint="default"/>
      </w:rPr>
    </w:lvl>
    <w:lvl w:ilvl="6">
      <w:start w:val="1"/>
      <w:numFmt w:val="upperRoman"/>
      <w:lvlText w:val="%7."/>
      <w:lvlJc w:val="right"/>
      <w:pPr>
        <w:tabs>
          <w:tab w:val="num" w:pos="8237"/>
        </w:tabs>
        <w:ind w:left="8237" w:hanging="360"/>
      </w:pPr>
      <w:rPr>
        <w:rFonts w:hint="default"/>
      </w:rPr>
    </w:lvl>
    <w:lvl w:ilvl="7">
      <w:start w:val="1"/>
      <w:numFmt w:val="upperRoman"/>
      <w:lvlText w:val="%8."/>
      <w:lvlJc w:val="right"/>
      <w:pPr>
        <w:tabs>
          <w:tab w:val="num" w:pos="8957"/>
        </w:tabs>
        <w:ind w:left="8957" w:hanging="360"/>
      </w:pPr>
      <w:rPr>
        <w:rFonts w:hint="default"/>
      </w:rPr>
    </w:lvl>
    <w:lvl w:ilvl="8">
      <w:start w:val="1"/>
      <w:numFmt w:val="upperRoman"/>
      <w:lvlText w:val="%9."/>
      <w:lvlJc w:val="right"/>
      <w:pPr>
        <w:tabs>
          <w:tab w:val="num" w:pos="9677"/>
        </w:tabs>
        <w:ind w:left="9677" w:hanging="360"/>
      </w:pPr>
      <w:rPr>
        <w:rFonts w:hint="default"/>
      </w:rPr>
    </w:lvl>
  </w:abstractNum>
  <w:num w:numId="1" w16cid:durableId="179556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71"/>
    <w:rsid w:val="000B3628"/>
    <w:rsid w:val="00205B71"/>
    <w:rsid w:val="00284ACC"/>
    <w:rsid w:val="004439DF"/>
    <w:rsid w:val="009E34D0"/>
    <w:rsid w:val="00B15B7F"/>
    <w:rsid w:val="00ED01BC"/>
    <w:rsid w:val="00EE63E9"/>
    <w:rsid w:val="00F01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7861"/>
  <w15:chartTrackingRefBased/>
  <w15:docId w15:val="{A9F2A646-EFF8-4852-A3BF-3647F388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C13"/>
    <w:pPr>
      <w:spacing w:line="360" w:lineRule="auto"/>
      <w:jc w:val="both"/>
    </w:pPr>
  </w:style>
  <w:style w:type="paragraph" w:styleId="Nagwek1">
    <w:name w:val="heading 1"/>
    <w:basedOn w:val="Normalny"/>
    <w:next w:val="Normalny"/>
    <w:link w:val="Nagwek1Znak"/>
    <w:uiPriority w:val="9"/>
    <w:qFormat/>
    <w:rsid w:val="00205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205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05B7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5B7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5B7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5B7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5B7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5B7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5B7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5B7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205B7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05B7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5B7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5B7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5B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5B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5B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5B71"/>
    <w:rPr>
      <w:rFonts w:eastAsiaTheme="majorEastAsia" w:cstheme="majorBidi"/>
      <w:color w:val="272727" w:themeColor="text1" w:themeTint="D8"/>
    </w:rPr>
  </w:style>
  <w:style w:type="paragraph" w:styleId="Tytu">
    <w:name w:val="Title"/>
    <w:basedOn w:val="Normalny"/>
    <w:next w:val="Normalny"/>
    <w:link w:val="TytuZnak"/>
    <w:uiPriority w:val="10"/>
    <w:qFormat/>
    <w:rsid w:val="00205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5B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5B7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5B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5B71"/>
    <w:pPr>
      <w:spacing w:before="160"/>
      <w:jc w:val="center"/>
    </w:pPr>
    <w:rPr>
      <w:i/>
      <w:iCs/>
      <w:color w:val="404040" w:themeColor="text1" w:themeTint="BF"/>
    </w:rPr>
  </w:style>
  <w:style w:type="character" w:customStyle="1" w:styleId="CytatZnak">
    <w:name w:val="Cytat Znak"/>
    <w:basedOn w:val="Domylnaczcionkaakapitu"/>
    <w:link w:val="Cytat"/>
    <w:uiPriority w:val="29"/>
    <w:rsid w:val="00205B71"/>
    <w:rPr>
      <w:i/>
      <w:iCs/>
      <w:color w:val="404040" w:themeColor="text1" w:themeTint="BF"/>
    </w:rPr>
  </w:style>
  <w:style w:type="paragraph" w:styleId="Akapitzlist">
    <w:name w:val="List Paragraph"/>
    <w:basedOn w:val="Normalny"/>
    <w:uiPriority w:val="34"/>
    <w:qFormat/>
    <w:rsid w:val="00205B71"/>
    <w:pPr>
      <w:ind w:left="720"/>
      <w:contextualSpacing/>
    </w:pPr>
  </w:style>
  <w:style w:type="character" w:styleId="Wyrnienieintensywne">
    <w:name w:val="Intense Emphasis"/>
    <w:basedOn w:val="Domylnaczcionkaakapitu"/>
    <w:uiPriority w:val="21"/>
    <w:qFormat/>
    <w:rsid w:val="00205B71"/>
    <w:rPr>
      <w:i/>
      <w:iCs/>
      <w:color w:val="0F4761" w:themeColor="accent1" w:themeShade="BF"/>
    </w:rPr>
  </w:style>
  <w:style w:type="paragraph" w:styleId="Cytatintensywny">
    <w:name w:val="Intense Quote"/>
    <w:basedOn w:val="Normalny"/>
    <w:next w:val="Normalny"/>
    <w:link w:val="CytatintensywnyZnak"/>
    <w:uiPriority w:val="30"/>
    <w:qFormat/>
    <w:rsid w:val="00205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5B71"/>
    <w:rPr>
      <w:i/>
      <w:iCs/>
      <w:color w:val="0F4761" w:themeColor="accent1" w:themeShade="BF"/>
    </w:rPr>
  </w:style>
  <w:style w:type="character" w:styleId="Odwoanieintensywne">
    <w:name w:val="Intense Reference"/>
    <w:basedOn w:val="Domylnaczcionkaakapitu"/>
    <w:uiPriority w:val="32"/>
    <w:qFormat/>
    <w:rsid w:val="00205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914a242-e718-443b-a47c-6b4c649d8c0a}" enabled="0" method="" siteId="{b914a242-e718-443b-a47c-6b4c649d8c0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2268</Characters>
  <Application>Microsoft Office Word</Application>
  <DocSecurity>0</DocSecurity>
  <Lines>18</Lines>
  <Paragraphs>5</Paragraphs>
  <ScaleCrop>false</ScaleCrop>
  <Company>Grupa E.ON edis energia</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Kamiński, Bartosz</dc:creator>
  <cp:keywords/>
  <dc:description/>
  <cp:lastModifiedBy>Kamiński, Bartosz</cp:lastModifiedBy>
  <cp:revision>4</cp:revision>
  <dcterms:created xsi:type="dcterms:W3CDTF">2026-04-22T07:03:00Z</dcterms:created>
  <dcterms:modified xsi:type="dcterms:W3CDTF">2026-04-22T07:05:00Z</dcterms:modified>
</cp:coreProperties>
</file>