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3A573" w14:textId="77777777" w:rsidR="007D0C25" w:rsidRPr="00A63B72" w:rsidRDefault="007D0C25" w:rsidP="007D0C2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color w:val="000000" w:themeColor="text1"/>
          <w:lang w:eastAsia="pl-PL"/>
        </w:rPr>
      </w:pPr>
      <w:r w:rsidRPr="00F05CC8">
        <w:rPr>
          <w:rFonts w:ascii="Arial" w:eastAsia="Times New Roman" w:hAnsi="Arial" w:cs="Arial"/>
          <w:b/>
          <w:bCs/>
          <w:lang w:eastAsia="pl-PL"/>
        </w:rPr>
        <w:t>Przedmiot zamówienia</w:t>
      </w:r>
      <w:r w:rsidRPr="00F05CC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obejmuje w ramach rozbudowy istniejącego </w:t>
      </w:r>
      <w:r w:rsidRPr="0056318B">
        <w:rPr>
          <w:rFonts w:ascii="Arial" w:eastAsia="Times New Roman" w:hAnsi="Arial" w:cs="Arial"/>
          <w:color w:val="000000" w:themeColor="text1"/>
          <w:lang w:eastAsia="pl-PL"/>
        </w:rPr>
        <w:t xml:space="preserve">jednofunkcyjnego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węzła cieplnego wykonanie </w:t>
      </w:r>
      <w:r w:rsidRPr="0056318B">
        <w:rPr>
          <w:rFonts w:ascii="Arial" w:eastAsia="Times New Roman" w:hAnsi="Arial" w:cs="Arial"/>
          <w:color w:val="000000" w:themeColor="text1"/>
          <w:lang w:eastAsia="pl-PL"/>
        </w:rPr>
        <w:t>modułu podgrzewu ciepłej wody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na podstawie dołączonych projektów budowalnych</w:t>
      </w:r>
      <w:r w:rsidRPr="0056318B">
        <w:rPr>
          <w:rFonts w:ascii="Arial" w:eastAsia="Times New Roman" w:hAnsi="Arial" w:cs="Arial"/>
          <w:color w:val="000000" w:themeColor="text1"/>
          <w:lang w:eastAsia="pl-PL"/>
        </w:rPr>
        <w:t>.</w:t>
      </w:r>
    </w:p>
    <w:p w14:paraId="0EDEE700" w14:textId="77777777" w:rsidR="007D0C25" w:rsidRDefault="007D0C25" w:rsidP="007D0C25">
      <w:pPr>
        <w:pStyle w:val="Akapitzlist"/>
        <w:spacing w:before="240" w:after="120" w:line="360" w:lineRule="auto"/>
        <w:ind w:left="357"/>
        <w:contextualSpacing w:val="0"/>
        <w:jc w:val="both"/>
        <w:textAlignment w:val="baseline"/>
        <w:rPr>
          <w:rFonts w:ascii="Arial" w:eastAsia="Times New Roman" w:hAnsi="Arial" w:cs="Arial"/>
          <w:color w:val="000000" w:themeColor="text1"/>
          <w:lang w:eastAsia="pl-PL"/>
        </w:rPr>
      </w:pPr>
      <w:r w:rsidRPr="0056318B">
        <w:rPr>
          <w:rFonts w:ascii="Arial" w:eastAsia="Times New Roman" w:hAnsi="Arial" w:cs="Arial"/>
          <w:color w:val="000000" w:themeColor="text1"/>
          <w:lang w:eastAsia="pl-PL"/>
        </w:rPr>
        <w:t xml:space="preserve">Moduł </w:t>
      </w:r>
      <w:proofErr w:type="spellStart"/>
      <w:r w:rsidRPr="0056318B">
        <w:rPr>
          <w:rFonts w:ascii="Arial" w:eastAsia="Times New Roman" w:hAnsi="Arial" w:cs="Arial"/>
          <w:color w:val="000000" w:themeColor="text1"/>
          <w:lang w:eastAsia="pl-PL"/>
        </w:rPr>
        <w:t>cwu</w:t>
      </w:r>
      <w:proofErr w:type="spellEnd"/>
      <w:r w:rsidRPr="0056318B">
        <w:rPr>
          <w:rFonts w:ascii="Arial" w:eastAsia="Times New Roman" w:hAnsi="Arial" w:cs="Arial"/>
          <w:color w:val="000000" w:themeColor="text1"/>
          <w:lang w:eastAsia="pl-PL"/>
        </w:rPr>
        <w:t xml:space="preserve"> o mocy</w:t>
      </w:r>
      <w:r>
        <w:rPr>
          <w:rFonts w:ascii="Arial" w:eastAsia="Times New Roman" w:hAnsi="Arial" w:cs="Arial"/>
          <w:color w:val="000000" w:themeColor="text1"/>
          <w:lang w:eastAsia="pl-PL"/>
        </w:rPr>
        <w:t>:</w:t>
      </w:r>
      <w:r w:rsidRPr="0056318B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proofErr w:type="spellStart"/>
      <w:r w:rsidRPr="0056318B">
        <w:rPr>
          <w:rFonts w:ascii="Arial" w:eastAsia="Times New Roman" w:hAnsi="Arial" w:cs="Arial"/>
          <w:color w:val="000000" w:themeColor="text1"/>
          <w:lang w:eastAsia="pl-PL"/>
        </w:rPr>
        <w:t>Q</w:t>
      </w:r>
      <w:r w:rsidRPr="00AA2B14">
        <w:rPr>
          <w:rFonts w:ascii="Arial" w:eastAsia="Times New Roman" w:hAnsi="Arial" w:cs="Arial"/>
          <w:color w:val="000000" w:themeColor="text1"/>
          <w:vertAlign w:val="subscript"/>
          <w:lang w:eastAsia="pl-PL"/>
        </w:rPr>
        <w:t>cwmax</w:t>
      </w:r>
      <w:proofErr w:type="spellEnd"/>
      <w:r w:rsidRPr="0056318B">
        <w:rPr>
          <w:rFonts w:ascii="Arial" w:eastAsia="Times New Roman" w:hAnsi="Arial" w:cs="Arial"/>
          <w:color w:val="000000" w:themeColor="text1"/>
          <w:lang w:eastAsia="pl-PL"/>
        </w:rPr>
        <w:t xml:space="preserve">=170 kW, </w:t>
      </w:r>
      <w:proofErr w:type="spellStart"/>
      <w:r w:rsidRPr="0056318B">
        <w:rPr>
          <w:rFonts w:ascii="Arial" w:eastAsia="Times New Roman" w:hAnsi="Arial" w:cs="Arial"/>
          <w:color w:val="000000" w:themeColor="text1"/>
          <w:lang w:eastAsia="pl-PL"/>
        </w:rPr>
        <w:t>Q</w:t>
      </w:r>
      <w:r w:rsidRPr="00AA2B14">
        <w:rPr>
          <w:rFonts w:ascii="Arial" w:eastAsia="Times New Roman" w:hAnsi="Arial" w:cs="Arial"/>
          <w:color w:val="000000" w:themeColor="text1"/>
          <w:vertAlign w:val="subscript"/>
          <w:lang w:eastAsia="pl-PL"/>
        </w:rPr>
        <w:t>cwu.śr</w:t>
      </w:r>
      <w:proofErr w:type="spellEnd"/>
      <w:r w:rsidRPr="0056318B">
        <w:rPr>
          <w:rFonts w:ascii="Arial" w:eastAsia="Times New Roman" w:hAnsi="Arial" w:cs="Arial"/>
          <w:color w:val="000000" w:themeColor="text1"/>
          <w:lang w:eastAsia="pl-PL"/>
        </w:rPr>
        <w:t xml:space="preserve">=67 </w:t>
      </w:r>
      <w:proofErr w:type="spellStart"/>
      <w:r w:rsidRPr="0056318B">
        <w:rPr>
          <w:rFonts w:ascii="Arial" w:eastAsia="Times New Roman" w:hAnsi="Arial" w:cs="Arial"/>
          <w:color w:val="000000" w:themeColor="text1"/>
          <w:lang w:eastAsia="pl-PL"/>
        </w:rPr>
        <w:t>kW</w:t>
      </w:r>
      <w:r>
        <w:rPr>
          <w:rFonts w:ascii="Arial" w:eastAsia="Times New Roman" w:hAnsi="Arial" w:cs="Arial"/>
          <w:color w:val="000000" w:themeColor="text1"/>
          <w:lang w:eastAsia="pl-PL"/>
        </w:rPr>
        <w:t>.</w:t>
      </w:r>
      <w:proofErr w:type="spellEnd"/>
    </w:p>
    <w:p w14:paraId="1850A3A6" w14:textId="77777777" w:rsidR="007D0C25" w:rsidRDefault="007D0C25" w:rsidP="007D0C25">
      <w:pPr>
        <w:pStyle w:val="Akapitzlist"/>
        <w:spacing w:before="120" w:after="12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lang w:eastAsia="pl-PL"/>
        </w:rPr>
      </w:pPr>
      <w:r>
        <w:rPr>
          <w:rFonts w:ascii="Arial" w:eastAsia="Times New Roman" w:hAnsi="Arial" w:cs="Arial"/>
          <w:color w:val="000000" w:themeColor="text1"/>
          <w:lang w:eastAsia="pl-PL"/>
        </w:rPr>
        <w:t xml:space="preserve">W </w:t>
      </w:r>
      <w:r w:rsidRPr="00A63B72">
        <w:rPr>
          <w:rFonts w:ascii="Arial" w:eastAsia="Times New Roman" w:hAnsi="Arial" w:cs="Arial"/>
          <w:color w:val="000000" w:themeColor="text1"/>
          <w:lang w:eastAsia="pl-PL"/>
        </w:rPr>
        <w:t>trakcie rozbudowy obecnego węzła o moduł CWU wymagana jest wymiana na module c.o. istniejącego zaworu regulacyjnego c.o. wraz z siłownikiem, regulatora różnicy ciśnień ∆</w:t>
      </w:r>
      <w:proofErr w:type="spellStart"/>
      <w:r w:rsidRPr="00A63B72">
        <w:rPr>
          <w:rFonts w:ascii="Arial" w:eastAsia="Times New Roman" w:hAnsi="Arial" w:cs="Arial"/>
          <w:color w:val="000000" w:themeColor="text1"/>
          <w:lang w:eastAsia="pl-PL"/>
        </w:rPr>
        <w:t>pV</w:t>
      </w:r>
      <w:proofErr w:type="spellEnd"/>
      <w:r w:rsidRPr="00A63B72">
        <w:rPr>
          <w:rFonts w:ascii="Arial" w:eastAsia="Times New Roman" w:hAnsi="Arial" w:cs="Arial"/>
          <w:color w:val="000000" w:themeColor="text1"/>
          <w:lang w:eastAsia="pl-PL"/>
        </w:rPr>
        <w:t>, regulatora pogodowego RVD 130 na RVD 140 oraz montaż termostatu bezpieczeństwa RAK-TW.10000HB. (licznik ciepła c.o. i wodomierz wody ciepłej na uzupełnianiu zładu instalacji został już zamotywany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i nie jest częścią przedmiotu zamówienia</w:t>
      </w:r>
      <w:r w:rsidRPr="00A63B72">
        <w:rPr>
          <w:rFonts w:ascii="Arial" w:eastAsia="Times New Roman" w:hAnsi="Arial" w:cs="Arial"/>
          <w:color w:val="000000" w:themeColor="text1"/>
          <w:lang w:eastAsia="pl-PL"/>
        </w:rPr>
        <w:t xml:space="preserve">). </w:t>
      </w:r>
      <w:r>
        <w:rPr>
          <w:rFonts w:ascii="Arial" w:eastAsia="Times New Roman" w:hAnsi="Arial" w:cs="Arial"/>
          <w:color w:val="000000" w:themeColor="text1"/>
          <w:lang w:eastAsia="pl-PL"/>
        </w:rPr>
        <w:t>Zamawiający</w:t>
      </w:r>
      <w:r w:rsidRPr="00A63B72">
        <w:rPr>
          <w:rFonts w:ascii="Arial" w:eastAsia="Times New Roman" w:hAnsi="Arial" w:cs="Arial"/>
          <w:color w:val="000000" w:themeColor="text1"/>
          <w:lang w:eastAsia="pl-PL"/>
        </w:rPr>
        <w:t xml:space="preserve"> dostarcza licznik główny LG </w:t>
      </w:r>
      <w:proofErr w:type="spellStart"/>
      <w:r w:rsidRPr="00A63B72">
        <w:rPr>
          <w:rFonts w:ascii="Arial" w:eastAsia="Times New Roman" w:hAnsi="Arial" w:cs="Arial"/>
          <w:color w:val="000000" w:themeColor="text1"/>
          <w:lang w:eastAsia="pl-PL"/>
        </w:rPr>
        <w:t>cwu</w:t>
      </w:r>
      <w:proofErr w:type="spellEnd"/>
      <w:r w:rsidRPr="00A63B72">
        <w:rPr>
          <w:rFonts w:ascii="Arial" w:eastAsia="Times New Roman" w:hAnsi="Arial" w:cs="Arial"/>
          <w:color w:val="000000" w:themeColor="text1"/>
          <w:lang w:eastAsia="pl-PL"/>
        </w:rPr>
        <w:t xml:space="preserve">. W miejsce wodomierza wody zimnej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należy </w:t>
      </w:r>
      <w:r w:rsidRPr="00A63B72">
        <w:rPr>
          <w:rFonts w:ascii="Arial" w:eastAsia="Times New Roman" w:hAnsi="Arial" w:cs="Arial"/>
          <w:color w:val="000000" w:themeColor="text1"/>
          <w:lang w:eastAsia="pl-PL"/>
        </w:rPr>
        <w:t>zamontowa</w:t>
      </w:r>
      <w:r>
        <w:rPr>
          <w:rFonts w:ascii="Arial" w:eastAsia="Times New Roman" w:hAnsi="Arial" w:cs="Arial"/>
          <w:color w:val="000000" w:themeColor="text1"/>
          <w:lang w:eastAsia="pl-PL"/>
        </w:rPr>
        <w:t>ć</w:t>
      </w:r>
      <w:r w:rsidRPr="00A63B72">
        <w:rPr>
          <w:rFonts w:ascii="Arial" w:eastAsia="Times New Roman" w:hAnsi="Arial" w:cs="Arial"/>
          <w:color w:val="000000" w:themeColor="text1"/>
          <w:lang w:eastAsia="pl-PL"/>
        </w:rPr>
        <w:t xml:space="preserve"> wstawki.</w:t>
      </w:r>
    </w:p>
    <w:p w14:paraId="68A2D711" w14:textId="77777777" w:rsidR="007D0C25" w:rsidRPr="0056318B" w:rsidRDefault="007D0C25" w:rsidP="007D0C25">
      <w:pPr>
        <w:pStyle w:val="Akapitzlist"/>
        <w:spacing w:before="120" w:after="12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lang w:eastAsia="pl-PL"/>
        </w:rPr>
      </w:pPr>
      <w:r>
        <w:rPr>
          <w:rFonts w:ascii="Arial" w:eastAsia="Times New Roman" w:hAnsi="Arial" w:cs="Arial"/>
          <w:color w:val="000000" w:themeColor="text1"/>
          <w:lang w:eastAsia="pl-PL"/>
        </w:rPr>
        <w:t xml:space="preserve">Przy </w:t>
      </w:r>
      <w:r w:rsidRPr="00E01BDF">
        <w:rPr>
          <w:rFonts w:ascii="Arial" w:eastAsia="Times New Roman" w:hAnsi="Arial" w:cs="Arial"/>
          <w:color w:val="000000" w:themeColor="text1"/>
          <w:lang w:eastAsia="pl-PL"/>
        </w:rPr>
        <w:t>wykonywaniu instalacji ciepłej wody użytkowej, cyrkulacji oraz wody zimnej do podgrzewu z rur i kształtek w części węzła od wymiennika CWU do śrubunków rozdzielających węzeł od instalacji odbiorcy należy stosować</w:t>
      </w:r>
      <w:r w:rsidRPr="0085543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 wyłącznie stal nierdzewną.</w:t>
      </w:r>
    </w:p>
    <w:p w14:paraId="4A21971E" w14:textId="77777777" w:rsidR="007D0C25" w:rsidRDefault="007D0C25" w:rsidP="007D0C25">
      <w:pPr>
        <w:pStyle w:val="Akapitzlist"/>
        <w:spacing w:before="120" w:after="12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lang w:eastAsia="pl-PL"/>
        </w:rPr>
      </w:pPr>
    </w:p>
    <w:p w14:paraId="05AF41FA" w14:textId="77777777" w:rsidR="007D0C25" w:rsidRPr="00AA2B14" w:rsidRDefault="007D0C25" w:rsidP="007D0C25">
      <w:pPr>
        <w:pStyle w:val="Akapitzlist"/>
        <w:spacing w:before="120" w:after="120" w:line="360" w:lineRule="auto"/>
        <w:ind w:left="357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u w:val="single"/>
          <w:lang w:eastAsia="pl-PL"/>
        </w:rPr>
      </w:pPr>
      <w:r w:rsidRPr="00AA2B14">
        <w:rPr>
          <w:rFonts w:ascii="Arial" w:eastAsia="Times New Roman" w:hAnsi="Arial" w:cs="Arial"/>
          <w:b/>
          <w:bCs/>
          <w:color w:val="000000" w:themeColor="text1"/>
          <w:u w:val="single"/>
          <w:lang w:eastAsia="pl-PL"/>
        </w:rPr>
        <w:t>Uwagi do przedmiotu zamówienia:</w:t>
      </w:r>
    </w:p>
    <w:p w14:paraId="2F82D2C3" w14:textId="77777777" w:rsidR="007D0C25" w:rsidRDefault="007D0C25" w:rsidP="007D0C25">
      <w:pPr>
        <w:pStyle w:val="Akapitzlist"/>
        <w:numPr>
          <w:ilvl w:val="0"/>
          <w:numId w:val="3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color w:val="000000" w:themeColor="text1"/>
          <w:lang w:eastAsia="pl-PL"/>
        </w:rPr>
      </w:pPr>
      <w:r w:rsidRPr="0056318B">
        <w:rPr>
          <w:rFonts w:ascii="Arial" w:eastAsia="Times New Roman" w:hAnsi="Arial" w:cs="Arial"/>
          <w:color w:val="000000" w:themeColor="text1"/>
          <w:lang w:eastAsia="pl-PL"/>
        </w:rPr>
        <w:t xml:space="preserve">Węzeł c.o. jest obecnie wyłączony ze względu na prace odbiorcy na instalacji wewnętrznej. </w:t>
      </w:r>
    </w:p>
    <w:p w14:paraId="48DC4C7F" w14:textId="77777777" w:rsidR="007D0C25" w:rsidRDefault="007D0C25" w:rsidP="007D0C25">
      <w:pPr>
        <w:pStyle w:val="Akapitzlist"/>
        <w:numPr>
          <w:ilvl w:val="0"/>
          <w:numId w:val="3"/>
        </w:numPr>
        <w:spacing w:after="240" w:line="360" w:lineRule="auto"/>
        <w:ind w:left="1071" w:hanging="357"/>
        <w:contextualSpacing w:val="0"/>
        <w:jc w:val="both"/>
        <w:textAlignment w:val="baseline"/>
        <w:rPr>
          <w:rFonts w:ascii="Arial" w:eastAsia="Times New Roman" w:hAnsi="Arial" w:cs="Arial"/>
          <w:color w:val="000000" w:themeColor="text1"/>
          <w:lang w:eastAsia="pl-PL"/>
        </w:rPr>
      </w:pPr>
      <w:r w:rsidRPr="0085543F">
        <w:rPr>
          <w:rFonts w:ascii="Arial" w:eastAsia="Times New Roman" w:hAnsi="Arial" w:cs="Arial"/>
          <w:color w:val="000000" w:themeColor="text1"/>
          <w:lang w:eastAsia="pl-PL"/>
        </w:rPr>
        <w:t>Zamawiający dopuszcza rozwiązania systemowe związane zarówno z metodą zaciskową (</w:t>
      </w:r>
      <w:proofErr w:type="spellStart"/>
      <w:r w:rsidRPr="0085543F">
        <w:rPr>
          <w:rFonts w:ascii="Arial" w:eastAsia="Times New Roman" w:hAnsi="Arial" w:cs="Arial"/>
          <w:color w:val="000000" w:themeColor="text1"/>
          <w:lang w:eastAsia="pl-PL"/>
        </w:rPr>
        <w:t>press</w:t>
      </w:r>
      <w:proofErr w:type="spellEnd"/>
      <w:r w:rsidRPr="0085543F">
        <w:rPr>
          <w:rFonts w:ascii="Arial" w:eastAsia="Times New Roman" w:hAnsi="Arial" w:cs="Arial"/>
          <w:color w:val="000000" w:themeColor="text1"/>
          <w:lang w:eastAsia="pl-PL"/>
        </w:rPr>
        <w:t>), metodą połączeń gwintowanych oraz połączeń spawanych. Roboty w każdej z tych metod muszą być wykonane przez odpowiednio przeszkolone osoby, posiadające wymagane przepisami uprawnienia i certyfikaty</w:t>
      </w:r>
    </w:p>
    <w:p w14:paraId="466F6CD1" w14:textId="77777777" w:rsidR="007D0C25" w:rsidRDefault="007D0C25" w:rsidP="007D0C25">
      <w:pPr>
        <w:pStyle w:val="Akapitzlist"/>
        <w:numPr>
          <w:ilvl w:val="0"/>
          <w:numId w:val="2"/>
        </w:numPr>
        <w:spacing w:before="120" w:after="120"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bookmarkStart w:id="0" w:name="_Hlk129787620"/>
      <w:r w:rsidRPr="00BA3D6A">
        <w:rPr>
          <w:rFonts w:ascii="Arial" w:eastAsia="Times New Roman" w:hAnsi="Arial" w:cs="Arial"/>
          <w:lang w:eastAsia="pl-PL"/>
        </w:rPr>
        <w:t>Przedmiot zamówienia należy należycie wykonać zgodnie z opracowanymi projektami budowlanymi i zawartymi w nich rozwiązaniami, przepisami prawa i zasadami wiedzy technicznej oraz wymogami określonymi w Specyfikacji Warunków Zamówienia.</w:t>
      </w:r>
      <w:bookmarkEnd w:id="0"/>
    </w:p>
    <w:p w14:paraId="3BAE6F1C" w14:textId="77777777" w:rsidR="007D0C25" w:rsidRDefault="007D0C25" w:rsidP="007D0C2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EA2BEE">
        <w:rPr>
          <w:rFonts w:ascii="Arial" w:eastAsia="Times New Roman" w:hAnsi="Arial" w:cs="Arial"/>
          <w:lang w:eastAsia="pl-PL"/>
        </w:rPr>
        <w:t xml:space="preserve">Materiały na </w:t>
      </w:r>
      <w:r>
        <w:rPr>
          <w:rFonts w:ascii="Arial" w:eastAsia="Times New Roman" w:hAnsi="Arial" w:cs="Arial"/>
          <w:lang w:eastAsia="pl-PL"/>
        </w:rPr>
        <w:t xml:space="preserve">budowę modułu </w:t>
      </w:r>
      <w:proofErr w:type="spellStart"/>
      <w:r>
        <w:rPr>
          <w:rFonts w:ascii="Arial" w:eastAsia="Times New Roman" w:hAnsi="Arial" w:cs="Arial"/>
          <w:lang w:eastAsia="pl-PL"/>
        </w:rPr>
        <w:t>cwu</w:t>
      </w:r>
      <w:proofErr w:type="spellEnd"/>
      <w:r>
        <w:rPr>
          <w:rFonts w:ascii="Arial" w:eastAsia="Times New Roman" w:hAnsi="Arial" w:cs="Arial"/>
          <w:lang w:eastAsia="pl-PL"/>
        </w:rPr>
        <w:t xml:space="preserve"> do węzła</w:t>
      </w:r>
      <w:r w:rsidRPr="00EA2BEE">
        <w:rPr>
          <w:rFonts w:ascii="Arial" w:eastAsia="Times New Roman" w:hAnsi="Arial" w:cs="Arial"/>
          <w:lang w:eastAsia="pl-PL"/>
        </w:rPr>
        <w:t xml:space="preserve"> zgodnie z zestawieniem materiałów z dokumentacji projektowej dostarcza Zamawiający pozostałe materiały Wykonawca. </w:t>
      </w:r>
    </w:p>
    <w:p w14:paraId="2DE94F34" w14:textId="77777777" w:rsidR="007D0C25" w:rsidRPr="003A6AAE" w:rsidRDefault="007D0C25" w:rsidP="007D0C2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Wykonawca </w:t>
      </w:r>
      <w:r w:rsidRPr="003A6AAE">
        <w:rPr>
          <w:rFonts w:ascii="Arial" w:eastAsia="Times New Roman" w:hAnsi="Arial" w:cs="Arial"/>
          <w:lang w:eastAsia="pl-PL"/>
        </w:rPr>
        <w:t xml:space="preserve">zobowiązany jest do realizacji przedmiotu zamówienia na każdym jego etapie zgodnie z wymaganiami Taksonomii Unii Europejskiej, w tym zgodnie z zasadą DNSH (do no </w:t>
      </w:r>
      <w:proofErr w:type="spellStart"/>
      <w:r w:rsidRPr="003A6AAE">
        <w:rPr>
          <w:rFonts w:ascii="Arial" w:eastAsia="Times New Roman" w:hAnsi="Arial" w:cs="Arial"/>
          <w:lang w:eastAsia="pl-PL"/>
        </w:rPr>
        <w:t>significant</w:t>
      </w:r>
      <w:proofErr w:type="spellEnd"/>
      <w:r w:rsidRPr="003A6AAE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3A6AAE">
        <w:rPr>
          <w:rFonts w:ascii="Arial" w:eastAsia="Times New Roman" w:hAnsi="Arial" w:cs="Arial"/>
          <w:lang w:eastAsia="pl-PL"/>
        </w:rPr>
        <w:t>harm</w:t>
      </w:r>
      <w:proofErr w:type="spellEnd"/>
      <w:r w:rsidRPr="003A6AAE">
        <w:rPr>
          <w:rFonts w:ascii="Arial" w:eastAsia="Times New Roman" w:hAnsi="Arial" w:cs="Arial"/>
          <w:lang w:eastAsia="pl-PL"/>
        </w:rPr>
        <w:t xml:space="preserve"> - „nie czyń poważnych szkód”) poprzez zastosowanie rozwiązań, które pozwolą przedsięwzięciu na każdym z etapów: realizacji, eksploatacji i zakończenia użytkowania pozostać spójnym z ww. zasadą.</w:t>
      </w:r>
    </w:p>
    <w:p w14:paraId="4D8E3995" w14:textId="11CDABD4" w:rsidR="00ED01BC" w:rsidRPr="007D0C25" w:rsidRDefault="007D0C25" w:rsidP="007D0C25">
      <w:pPr>
        <w:pStyle w:val="Akapitzlist"/>
        <w:spacing w:line="360" w:lineRule="auto"/>
        <w:ind w:left="357"/>
        <w:jc w:val="both"/>
        <w:rPr>
          <w:rFonts w:ascii="Arial" w:eastAsia="Times New Roman" w:hAnsi="Arial" w:cs="Arial"/>
          <w:u w:val="single"/>
          <w:lang w:eastAsia="pl-PL"/>
        </w:rPr>
      </w:pPr>
      <w:r w:rsidRPr="003A6AAE">
        <w:rPr>
          <w:rFonts w:ascii="Arial" w:eastAsia="Times New Roman" w:hAnsi="Arial" w:cs="Arial"/>
          <w:u w:val="single"/>
          <w:lang w:eastAsia="pl-PL"/>
        </w:rPr>
        <w:t>Wykonawca jest zobowiązany do gromadzenia i dostarczenia Zamawiającemu na etapie realizacji robót budowlanych dowodów potwierdzających spełnienie wymagań Taksonomii Unii Europejskiej odnoszących się do zasady DNSH.</w:t>
      </w:r>
    </w:p>
    <w:sectPr w:rsidR="00ED01BC" w:rsidRPr="007D0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712F"/>
    <w:multiLevelType w:val="multilevel"/>
    <w:tmpl w:val="3A6C8B9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20" w:hanging="363"/>
      </w:pPr>
      <w:rPr>
        <w:rFonts w:hint="default"/>
      </w:r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180615D"/>
    <w:multiLevelType w:val="hybridMultilevel"/>
    <w:tmpl w:val="0AA6E2F2"/>
    <w:lvl w:ilvl="0" w:tplc="C13A427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8B03E4"/>
    <w:multiLevelType w:val="hybridMultilevel"/>
    <w:tmpl w:val="DF4E4A8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826506367">
    <w:abstractNumId w:val="0"/>
  </w:num>
  <w:num w:numId="2" w16cid:durableId="13314282">
    <w:abstractNumId w:val="1"/>
  </w:num>
  <w:num w:numId="3" w16cid:durableId="207576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80"/>
    <w:rsid w:val="000B3628"/>
    <w:rsid w:val="003322B9"/>
    <w:rsid w:val="003841D2"/>
    <w:rsid w:val="00431A80"/>
    <w:rsid w:val="004348B8"/>
    <w:rsid w:val="004439DF"/>
    <w:rsid w:val="007D0C25"/>
    <w:rsid w:val="008A6146"/>
    <w:rsid w:val="009E34D0"/>
    <w:rsid w:val="00BE15B4"/>
    <w:rsid w:val="00CE277D"/>
    <w:rsid w:val="00D96A92"/>
    <w:rsid w:val="00ED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C85FB"/>
  <w15:chartTrackingRefBased/>
  <w15:docId w15:val="{3177AC31-6308-444D-9EA4-35249366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77D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1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A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A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A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A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A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A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A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A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A80"/>
    <w:rPr>
      <w:i/>
      <w:iCs/>
      <w:color w:val="404040" w:themeColor="text1" w:themeTint="BF"/>
    </w:rPr>
  </w:style>
  <w:style w:type="paragraph" w:styleId="Akapitzlist">
    <w:name w:val="List Paragraph"/>
    <w:aliases w:val="normalny tekst,Obiekt,List Paragraph1,Nagłowek 3,Numerowanie,L1,Preambuła,Akapit z listą BS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431A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A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A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A80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normalny tekst Znak,Obiekt Znak,List Paragraph1 Znak,Nagłowek 3 Znak,Numerowanie Znak,L1 Znak,Preambuła Znak,Akapit z listą BS Znak,Dot pt Znak,F5 List Paragraph Znak,Recommendation Znak,List Paragraph11 Znak,lp1 Znak,CW_Lista Znak"/>
    <w:link w:val="Akapitzlist"/>
    <w:uiPriority w:val="34"/>
    <w:qFormat/>
    <w:locked/>
    <w:rsid w:val="00CE2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2052</Characters>
  <Application>Microsoft Office Word</Application>
  <DocSecurity>0</DocSecurity>
  <Lines>17</Lines>
  <Paragraphs>4</Paragraphs>
  <ScaleCrop>false</ScaleCrop>
  <Company>Grupa E.ON edis energia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Kamiński, Bartosz</dc:creator>
  <cp:keywords/>
  <dc:description/>
  <cp:lastModifiedBy>Kamiński, Bartosz</cp:lastModifiedBy>
  <cp:revision>5</cp:revision>
  <dcterms:created xsi:type="dcterms:W3CDTF">2026-03-03T07:59:00Z</dcterms:created>
  <dcterms:modified xsi:type="dcterms:W3CDTF">2026-09-08T07:04:00Z</dcterms:modified>
</cp:coreProperties>
</file>